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6BBE" w:rsidRPr="00A56BBE" w:rsidRDefault="00A56BBE" w:rsidP="00A56BBE">
      <w:pPr>
        <w:spacing w:after="100" w:afterAutospacing="1" w:line="240" w:lineRule="auto"/>
        <w:outlineLvl w:val="0"/>
        <w:rPr>
          <w:rFonts w:ascii="GolosTextWebBold" w:eastAsia="Times New Roman" w:hAnsi="GolosTextWebBold" w:cs="Times New Roman"/>
          <w:kern w:val="36"/>
          <w:sz w:val="48"/>
          <w:szCs w:val="48"/>
          <w:lang w:eastAsia="ru-RU"/>
        </w:rPr>
      </w:pPr>
      <w:bookmarkStart w:id="0" w:name="_GoBack"/>
      <w:r w:rsidRPr="00A56BBE">
        <w:rPr>
          <w:rFonts w:ascii="GolosTextWebBold" w:eastAsia="Times New Roman" w:hAnsi="GolosTextWebBold" w:cs="Times New Roman"/>
          <w:kern w:val="36"/>
          <w:sz w:val="48"/>
          <w:szCs w:val="48"/>
          <w:lang w:eastAsia="ru-RU"/>
        </w:rPr>
        <w:t>Обогащенные продукты – больше пользы при пониженной калорийности</w:t>
      </w:r>
    </w:p>
    <w:bookmarkEnd w:id="0"/>
    <w:p w:rsidR="00A56BBE" w:rsidRPr="00A56BBE" w:rsidRDefault="00A56BBE" w:rsidP="00A56BBE">
      <w:pPr>
        <w:spacing w:after="0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56BBE">
        <w:rPr>
          <w:rFonts w:ascii="GolosTextWebRegular" w:eastAsia="Times New Roman" w:hAnsi="GolosTextWebRegular" w:cs="Times New Roman"/>
          <w:noProof/>
          <w:sz w:val="24"/>
          <w:szCs w:val="24"/>
          <w:lang w:eastAsia="ru-RU"/>
        </w:rPr>
        <w:drawing>
          <wp:inline distT="0" distB="0" distL="0" distR="0" wp14:anchorId="722D26C7" wp14:editId="14C70CC9">
            <wp:extent cx="5362575" cy="2505075"/>
            <wp:effectExtent l="0" t="0" r="9525" b="9525"/>
            <wp:docPr id="3" name="Рисунок 3" descr="Обогащенные продукты – больше пользы при пониженной калорийно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Обогащенные продукты – больше пользы при пониженной калорийности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6BBE" w:rsidRPr="00A56BBE" w:rsidRDefault="00A56BBE" w:rsidP="00A56BBE">
      <w:pPr>
        <w:spacing w:after="100" w:afterAutospacing="1" w:line="240" w:lineRule="auto"/>
        <w:outlineLvl w:val="4"/>
        <w:rPr>
          <w:rFonts w:ascii="GolosTextWebBold" w:eastAsia="Times New Roman" w:hAnsi="GolosTextWebBold" w:cs="Times New Roman"/>
          <w:sz w:val="24"/>
          <w:szCs w:val="24"/>
          <w:lang w:eastAsia="ru-RU"/>
        </w:rPr>
      </w:pPr>
      <w:r w:rsidRPr="00A56BBE">
        <w:rPr>
          <w:rFonts w:ascii="GolosTextWebBold" w:eastAsia="Times New Roman" w:hAnsi="GolosTextWebBold" w:cs="Times New Roman"/>
          <w:sz w:val="24"/>
          <w:szCs w:val="24"/>
          <w:lang w:eastAsia="ru-RU"/>
        </w:rPr>
        <w:t>Современный способ скорректировать рацион питания и улучшить здоровье.</w:t>
      </w:r>
    </w:p>
    <w:p w:rsidR="00A56BBE" w:rsidRPr="00A56BBE" w:rsidRDefault="00A56BBE" w:rsidP="00A56BBE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56BBE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С пищей мы должны получать большое количество пищевых веществ, необходимых для обеспечения физиологических потребностей организма. Однако ни один продукт, за исключением грудного молока в первые 4-6 месяцев жизни, не способен полностью закрыть эту потребность. </w:t>
      </w:r>
    </w:p>
    <w:p w:rsidR="00A56BBE" w:rsidRPr="00A56BBE" w:rsidRDefault="00A56BBE" w:rsidP="00A56BBE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56BBE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Установлено, что традиционное питание может обеспечить только 60-70% потребности человека в </w:t>
      </w:r>
      <w:proofErr w:type="spellStart"/>
      <w:r w:rsidRPr="00A56BBE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эссенциальных</w:t>
      </w:r>
      <w:proofErr w:type="spellEnd"/>
      <w:r w:rsidRPr="00A56BBE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 пищевых веществах при употреблении суточной калорийности пищи для женщин в 2200 ккал и для мужчин – 2600 ккал. При низком расходе энергии такая калорийность считается высокой и приводит к набору лишнего веса. </w:t>
      </w:r>
    </w:p>
    <w:p w:rsidR="00A56BBE" w:rsidRPr="00A56BBE" w:rsidRDefault="00A56BBE" w:rsidP="00A56BBE">
      <w:pPr>
        <w:spacing w:after="100" w:afterAutospacing="1" w:line="240" w:lineRule="auto"/>
        <w:outlineLvl w:val="1"/>
        <w:rPr>
          <w:rFonts w:ascii="GolosTextWebBold" w:eastAsia="Times New Roman" w:hAnsi="GolosTextWebBold" w:cs="Times New Roman"/>
          <w:sz w:val="42"/>
          <w:szCs w:val="42"/>
          <w:lang w:eastAsia="ru-RU"/>
        </w:rPr>
      </w:pPr>
      <w:r w:rsidRPr="00A56BBE">
        <w:rPr>
          <w:rFonts w:ascii="GolosTextWebBold" w:eastAsia="Times New Roman" w:hAnsi="GolosTextWebBold" w:cs="Times New Roman"/>
          <w:sz w:val="42"/>
          <w:szCs w:val="42"/>
          <w:lang w:eastAsia="ru-RU"/>
        </w:rPr>
        <w:t>Что же делать в такой ситуации?</w:t>
      </w:r>
    </w:p>
    <w:p w:rsidR="00A56BBE" w:rsidRPr="00A56BBE" w:rsidRDefault="00A56BBE" w:rsidP="00A56BBE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56BBE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На помощь придет обогащенная пищевая продукция. В нее в необходимом количестве добавлены одно или несколько пищевые и/или биологически активные вещества и/или </w:t>
      </w:r>
      <w:proofErr w:type="spellStart"/>
      <w:r w:rsidRPr="00A56BBE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пробиотические</w:t>
      </w:r>
      <w:proofErr w:type="spellEnd"/>
      <w:r w:rsidRPr="00A56BBE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 микроорганизмы. </w:t>
      </w:r>
    </w:p>
    <w:p w:rsidR="00A56BBE" w:rsidRPr="00A56BBE" w:rsidRDefault="00A56BBE" w:rsidP="00A56BBE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56BBE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Производитель обязан гарантировать такое содержание микронутриентов в обогащенном продукте, которое позволит удовлетворить 30–50 % средней суточной потребности в них, а также обеспечить содержание внесенных нутриентов на уровне не ниже заявленного в течение всего срока годности обогащенного продукта. Эффективность обогащенных продуктов должна быть убедительно подтверждена: такие продукты обязательно должны проходить апробацию на репрезентативных группах людей. </w:t>
      </w:r>
    </w:p>
    <w:p w:rsidR="00A56BBE" w:rsidRPr="00A56BBE" w:rsidRDefault="00A56BBE" w:rsidP="00A56BBE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56BBE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При обогащении продуктов питания используются те микронутриенты, дефицит которых реально существует, достаточно широко распространен и опасен для здоровья. Обогащение применяется в отношении продуктов массового потребления, доступных для всех и регулярно используемых в повседневном питании. </w:t>
      </w:r>
    </w:p>
    <w:p w:rsidR="00A56BBE" w:rsidRPr="00A56BBE" w:rsidRDefault="00A56BBE" w:rsidP="00A56BBE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56BBE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При обогащении потребительские свойства продуктов не должны ухудшаться. Так, в продукты, обогащенные солями железа или другими микроэлементами, нецелесообразно </w:t>
      </w:r>
      <w:r w:rsidRPr="00A56BBE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lastRenderedPageBreak/>
        <w:t>вводить пищевые волокна, которые способны прочно связывать эти микронутриенты, нарушая их всасывание в ЖКТ. Также при обогащении учитывается возможность химического взаимодействия обогащающих веществ между собой и с компонентами обогащаемого продукта, и способы его дальнейшего использования. Например, муку и хлеб целесообразно обогащать витаминами группы В, которые сравнительно легко переносят повышение температуры, а соки – витамином D. </w:t>
      </w:r>
    </w:p>
    <w:p w:rsidR="00A56BBE" w:rsidRPr="00A56BBE" w:rsidRDefault="00A56BBE" w:rsidP="00A56BBE">
      <w:pPr>
        <w:spacing w:after="100" w:afterAutospacing="1" w:line="240" w:lineRule="auto"/>
        <w:outlineLvl w:val="1"/>
        <w:rPr>
          <w:rFonts w:ascii="GolosTextWebBold" w:eastAsia="Times New Roman" w:hAnsi="GolosTextWebBold" w:cs="Times New Roman"/>
          <w:sz w:val="42"/>
          <w:szCs w:val="42"/>
          <w:lang w:eastAsia="ru-RU"/>
        </w:rPr>
      </w:pPr>
      <w:r w:rsidRPr="00A56BBE">
        <w:rPr>
          <w:rFonts w:ascii="GolosTextWebBold" w:eastAsia="Times New Roman" w:hAnsi="GolosTextWebBold" w:cs="Times New Roman"/>
          <w:sz w:val="42"/>
          <w:szCs w:val="42"/>
          <w:lang w:eastAsia="ru-RU"/>
        </w:rPr>
        <w:t>Какими бывают обогащенные продукты</w:t>
      </w:r>
    </w:p>
    <w:p w:rsidR="00A56BBE" w:rsidRPr="00A56BBE" w:rsidRDefault="00A56BBE" w:rsidP="00A56BBE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56BBE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В России производство обогащенных продуктов развивается. В продаже уже можно найти:</w:t>
      </w:r>
    </w:p>
    <w:p w:rsidR="00A56BBE" w:rsidRPr="00A56BBE" w:rsidRDefault="00A56BBE" w:rsidP="00A56BBE">
      <w:pPr>
        <w:numPr>
          <w:ilvl w:val="0"/>
          <w:numId w:val="4"/>
        </w:numPr>
        <w:spacing w:before="100" w:beforeAutospacing="1" w:after="120" w:line="360" w:lineRule="atLeast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56BBE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хлеб и хлебобулочные изделия – зачастую обогащенные витаминами В1, В2, В6, ниацином, фолиевой кислотой, b-каротином, железом, кальцием, пищевыми волокнами; </w:t>
      </w:r>
    </w:p>
    <w:p w:rsidR="00A56BBE" w:rsidRPr="00A56BBE" w:rsidRDefault="00A56BBE" w:rsidP="00A56BBE">
      <w:pPr>
        <w:numPr>
          <w:ilvl w:val="0"/>
          <w:numId w:val="4"/>
        </w:numPr>
        <w:spacing w:before="100" w:beforeAutospacing="1" w:after="120" w:line="360" w:lineRule="atLeast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56BBE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муку – с витаминами группы В; молоко и кисломолочные продукты – витаминами С, </w:t>
      </w:r>
      <w:proofErr w:type="gramStart"/>
      <w:r w:rsidRPr="00A56BBE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А</w:t>
      </w:r>
      <w:proofErr w:type="gramEnd"/>
      <w:r w:rsidRPr="00A56BBE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, D, Е, В1, В2, В6, В12, В3, ниацином, фолиевой кислотой, </w:t>
      </w:r>
      <w:proofErr w:type="spellStart"/>
      <w:r w:rsidRPr="00A56BBE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пробиотиками</w:t>
      </w:r>
      <w:proofErr w:type="spellEnd"/>
      <w:r w:rsidRPr="00A56BBE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, </w:t>
      </w:r>
      <w:proofErr w:type="spellStart"/>
      <w:r w:rsidRPr="00A56BBE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пребиотиками</w:t>
      </w:r>
      <w:proofErr w:type="spellEnd"/>
      <w:r w:rsidRPr="00A56BBE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; </w:t>
      </w:r>
    </w:p>
    <w:p w:rsidR="00A56BBE" w:rsidRPr="00A56BBE" w:rsidRDefault="00A56BBE" w:rsidP="00A56BBE">
      <w:pPr>
        <w:numPr>
          <w:ilvl w:val="0"/>
          <w:numId w:val="4"/>
        </w:numPr>
        <w:spacing w:before="100" w:beforeAutospacing="1" w:after="120" w:line="360" w:lineRule="atLeast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56BBE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яйца куриные – с йодом, селеном, витаминами группы В, витаминами А, С, РР, фолиевой кислотой; </w:t>
      </w:r>
    </w:p>
    <w:p w:rsidR="00A56BBE" w:rsidRPr="00A56BBE" w:rsidRDefault="00A56BBE" w:rsidP="00A56BBE">
      <w:pPr>
        <w:numPr>
          <w:ilvl w:val="0"/>
          <w:numId w:val="4"/>
        </w:numPr>
        <w:spacing w:before="100" w:beforeAutospacing="1" w:after="120" w:line="360" w:lineRule="atLeast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56BBE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соль – с йодом и фтором; </w:t>
      </w:r>
    </w:p>
    <w:p w:rsidR="00A56BBE" w:rsidRPr="00A56BBE" w:rsidRDefault="00A56BBE" w:rsidP="00A56BBE">
      <w:pPr>
        <w:numPr>
          <w:ilvl w:val="0"/>
          <w:numId w:val="4"/>
        </w:numPr>
        <w:spacing w:before="100" w:beforeAutospacing="1" w:after="120" w:line="360" w:lineRule="atLeast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56BBE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приправы – с йодом и другими микроэлементами, полиненасыщенными жирными кислотами, витаминами и </w:t>
      </w:r>
      <w:proofErr w:type="spellStart"/>
      <w:r w:rsidRPr="00A56BBE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фитокомплексами</w:t>
      </w:r>
      <w:proofErr w:type="spellEnd"/>
      <w:r w:rsidRPr="00A56BBE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; </w:t>
      </w:r>
    </w:p>
    <w:p w:rsidR="00A56BBE" w:rsidRPr="00A56BBE" w:rsidRDefault="00A56BBE" w:rsidP="00A56BBE">
      <w:pPr>
        <w:numPr>
          <w:ilvl w:val="0"/>
          <w:numId w:val="4"/>
        </w:numPr>
        <w:spacing w:before="100" w:beforeAutospacing="1" w:after="120" w:line="360" w:lineRule="atLeast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56BBE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растительное масло, сливочное масло и маргарин – с витаминами А, D, Е, К и каротинами; </w:t>
      </w:r>
    </w:p>
    <w:p w:rsidR="00A56BBE" w:rsidRPr="00A56BBE" w:rsidRDefault="00A56BBE" w:rsidP="00A56BBE">
      <w:pPr>
        <w:numPr>
          <w:ilvl w:val="0"/>
          <w:numId w:val="4"/>
        </w:numPr>
        <w:spacing w:before="100" w:beforeAutospacing="1" w:after="120" w:line="360" w:lineRule="atLeast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56BBE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питьевую воду – с йодом, фтором и магнием; </w:t>
      </w:r>
    </w:p>
    <w:p w:rsidR="00A56BBE" w:rsidRPr="00A56BBE" w:rsidRDefault="00A56BBE" w:rsidP="00A56BBE">
      <w:pPr>
        <w:numPr>
          <w:ilvl w:val="0"/>
          <w:numId w:val="4"/>
        </w:numPr>
        <w:spacing w:before="100" w:beforeAutospacing="1" w:after="120" w:line="360" w:lineRule="atLeast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56BBE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безалкогольные напитки, соки, сухие концентраты для приготовления напитков – с витаминами С, В1, В2, В6, В12, В3, ниацином, фолиевой кислотой, биотином; </w:t>
      </w:r>
    </w:p>
    <w:p w:rsidR="00A56BBE" w:rsidRPr="00A56BBE" w:rsidRDefault="00A56BBE" w:rsidP="00A56BBE">
      <w:pPr>
        <w:numPr>
          <w:ilvl w:val="0"/>
          <w:numId w:val="4"/>
        </w:numPr>
        <w:spacing w:before="100" w:beforeAutospacing="1" w:after="120" w:line="360" w:lineRule="atLeast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56BBE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сухие завтраки, хрустящие кукурузные хлопья, каши быстрого приготовления – с витаминами С, </w:t>
      </w:r>
      <w:proofErr w:type="gramStart"/>
      <w:r w:rsidRPr="00A56BBE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А</w:t>
      </w:r>
      <w:proofErr w:type="gramEnd"/>
      <w:r w:rsidRPr="00A56BBE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, D, Е, В1, В2, В6, В12, В3, кальцием, железом, пищевыми волокнами; </w:t>
      </w:r>
    </w:p>
    <w:p w:rsidR="00A56BBE" w:rsidRPr="00A56BBE" w:rsidRDefault="00A56BBE" w:rsidP="00A56BBE">
      <w:pPr>
        <w:numPr>
          <w:ilvl w:val="0"/>
          <w:numId w:val="4"/>
        </w:numPr>
        <w:spacing w:before="100" w:beforeAutospacing="1" w:after="120" w:line="360" w:lineRule="atLeast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56BBE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кондитерские изделия для детей – c витаминами С, В1, В2, В6, В3, фолиевой кислотой, кальцием и железом.</w:t>
      </w:r>
    </w:p>
    <w:p w:rsidR="00A56BBE" w:rsidRPr="00A56BBE" w:rsidRDefault="00A56BBE" w:rsidP="00A56BBE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56BBE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На маркировке такой пищевой продукции обязательно должна быть указана пищевая ценность веществ, использованных для ее обогащения (витамины, минеральные вещества и прочее), в процентном отношении к величинам, отражающим среднюю суточную потребность взрослого человека.</w:t>
      </w:r>
    </w:p>
    <w:p w:rsidR="00551B3B" w:rsidRPr="00A56BBE" w:rsidRDefault="00551B3B" w:rsidP="00A56BBE"/>
    <w:sectPr w:rsidR="00551B3B" w:rsidRPr="00A56B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olosTextWebBold">
    <w:altName w:val="Times New Roman"/>
    <w:panose1 w:val="00000000000000000000"/>
    <w:charset w:val="00"/>
    <w:family w:val="roman"/>
    <w:notTrueType/>
    <w:pitch w:val="default"/>
  </w:font>
  <w:font w:name="GolosTextWeb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03DF4"/>
    <w:multiLevelType w:val="multilevel"/>
    <w:tmpl w:val="E03E5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CA14B30"/>
    <w:multiLevelType w:val="multilevel"/>
    <w:tmpl w:val="604A7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9570C52"/>
    <w:multiLevelType w:val="multilevel"/>
    <w:tmpl w:val="A4865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E1D0C85"/>
    <w:multiLevelType w:val="multilevel"/>
    <w:tmpl w:val="DF94E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F7A"/>
    <w:rsid w:val="00165047"/>
    <w:rsid w:val="00551B3B"/>
    <w:rsid w:val="00A56BBE"/>
    <w:rsid w:val="00F20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F7E2B"/>
  <w15:chartTrackingRefBased/>
  <w15:docId w15:val="{587A02C6-1F9E-4BF1-9F4E-3613AC4DE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1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66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60640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2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59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49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7524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05312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207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8215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87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294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41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6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9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331180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0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40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43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11870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93246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153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7376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19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5861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55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93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0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384458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64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4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76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07587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961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001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4057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60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FFFFFF"/>
      </a:dk1>
      <a:lt1>
        <a:sysClr val="window" lastClr="00000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РПН</dc:creator>
  <cp:keywords/>
  <dc:description/>
  <cp:lastModifiedBy>РПН</cp:lastModifiedBy>
  <cp:revision>2</cp:revision>
  <dcterms:created xsi:type="dcterms:W3CDTF">2024-02-22T05:24:00Z</dcterms:created>
  <dcterms:modified xsi:type="dcterms:W3CDTF">2024-02-22T05:24:00Z</dcterms:modified>
</cp:coreProperties>
</file>